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AC" w:rsidRDefault="00442CAC" w:rsidP="00442CAC">
      <w:pPr>
        <w:pStyle w:val="Overskrift1"/>
      </w:pPr>
      <w:r>
        <w:t>Kapitel 4 – Evaluering</w:t>
      </w:r>
    </w:p>
    <w:p w:rsidR="00442CAC" w:rsidRDefault="00442CAC" w:rsidP="00442CAC">
      <w:pPr>
        <w:pStyle w:val="Overskrift2"/>
      </w:pPr>
      <w:r>
        <w:t>4.1.0 Ledelsens evaluering</w:t>
      </w:r>
      <w:bookmarkStart w:id="0" w:name="_GoBack"/>
      <w:bookmarkEnd w:id="0"/>
    </w:p>
    <w:p w:rsidR="00442CAC" w:rsidRDefault="00442CAC" w:rsidP="00442CAC"/>
    <w:p w:rsidR="00442CAC" w:rsidRDefault="00442CAC" w:rsidP="00442CAC">
      <w:r>
        <w:t>Ledelsen på Imarsiornermik Ilinniarfik, skal sikre at der foretages løbende evaluering af kvalitetssystemet, således at dets effektivitet vurderes, med henblik på at sikre dets egnethed til opfyldelse af målsætning og politik.</w:t>
      </w:r>
    </w:p>
    <w:p w:rsidR="00442CAC" w:rsidRDefault="00442CAC" w:rsidP="00442CAC">
      <w:r>
        <w:t xml:space="preserve">Ledelsen skal mindst én gang om året, gennemgå kvalitetssystemet, i overenstemmelse med </w:t>
      </w:r>
      <w:r w:rsidR="00EF088B">
        <w:t>P P P 029-01 Procedure for ledelsens evaluering af kvalitetssystemet</w:t>
      </w:r>
      <w:r>
        <w:t>.</w:t>
      </w:r>
    </w:p>
    <w:p w:rsidR="00442CAC" w:rsidRDefault="00442CAC" w:rsidP="00442CAC">
      <w:r>
        <w:t xml:space="preserve">Evalueringen skal </w:t>
      </w:r>
      <w:r w:rsidR="00865BD0">
        <w:t xml:space="preserve">overordnet </w:t>
      </w:r>
      <w:r>
        <w:t>sikre at:</w:t>
      </w:r>
    </w:p>
    <w:p w:rsidR="00442CAC" w:rsidRDefault="00442CAC" w:rsidP="00442CAC">
      <w:pPr>
        <w:pStyle w:val="Listeafsnit"/>
        <w:numPr>
          <w:ilvl w:val="0"/>
          <w:numId w:val="1"/>
        </w:numPr>
      </w:pPr>
      <w:r>
        <w:t>Afvigelser ledelsen er gjort bekendt med, bliver korrigeret og foranstaltninger sat i værk der sikre, at disse afvigelser ikke optræder igen.</w:t>
      </w:r>
    </w:p>
    <w:p w:rsidR="00442CAC" w:rsidRDefault="00442CAC" w:rsidP="00442CAC">
      <w:pPr>
        <w:pStyle w:val="Listeafsnit"/>
        <w:numPr>
          <w:ilvl w:val="0"/>
          <w:numId w:val="1"/>
        </w:numPr>
      </w:pPr>
      <w:r>
        <w:t>Forslag til forbedringer, vurderes og i nødvendigt omfang i samarbejde med kvalitetskoordinator implementeres i kvalitetssystemet.</w:t>
      </w:r>
    </w:p>
    <w:p w:rsidR="00442CAC" w:rsidRDefault="00442CAC" w:rsidP="00442CAC">
      <w:pPr>
        <w:pStyle w:val="Listeafsnit"/>
        <w:numPr>
          <w:ilvl w:val="0"/>
          <w:numId w:val="1"/>
        </w:numPr>
      </w:pPr>
      <w:r>
        <w:t>Kvalitetssystemet i samarbejde med kvalitetskoordinator, bliver opdateret med nyeste lovgivning, herunder regler og bekendtgørelser samt lærebogsmateriale, kontakt med erhvervet mm.</w:t>
      </w:r>
    </w:p>
    <w:p w:rsidR="00442CAC" w:rsidRDefault="00442CAC" w:rsidP="00442CAC">
      <w:pPr>
        <w:pStyle w:val="Listeafsnit"/>
        <w:numPr>
          <w:ilvl w:val="0"/>
          <w:numId w:val="1"/>
        </w:numPr>
      </w:pPr>
      <w:r>
        <w:t>Audit rapporter bliver gennemgået, samt korrigerende handlinger gennemføres for at sikre fejl og mangler udbedres. Dette er gældende for såvel interne som eksterne audit rapporter. Dette gennemføres i samarbejde med kvalitetskoordinator.</w:t>
      </w:r>
    </w:p>
    <w:p w:rsidR="00442CAC" w:rsidRDefault="00865BD0" w:rsidP="00442CAC">
      <w:pPr>
        <w:pStyle w:val="Listeafsnit"/>
        <w:numPr>
          <w:ilvl w:val="0"/>
          <w:numId w:val="1"/>
        </w:numPr>
      </w:pPr>
      <w:r>
        <w:t>Eksterne evalueringsrapporter, lægges til grund for udvikling af kvalitetssystemet.</w:t>
      </w:r>
    </w:p>
    <w:p w:rsidR="00865BD0" w:rsidRDefault="00865BD0" w:rsidP="00865BD0">
      <w:r>
        <w:t>Evalueringen skal endvidere indeholde:</w:t>
      </w:r>
    </w:p>
    <w:p w:rsidR="00865BD0" w:rsidRDefault="00865BD0" w:rsidP="00865BD0">
      <w:pPr>
        <w:pStyle w:val="Listeafsnit"/>
        <w:numPr>
          <w:ilvl w:val="0"/>
          <w:numId w:val="1"/>
        </w:numPr>
      </w:pPr>
      <w:r>
        <w:t>Registreringer vedrørende elevernes studieaktivitet.</w:t>
      </w:r>
    </w:p>
    <w:p w:rsidR="00865BD0" w:rsidRDefault="00865BD0" w:rsidP="00865BD0">
      <w:pPr>
        <w:pStyle w:val="Listeafsnit"/>
        <w:numPr>
          <w:ilvl w:val="0"/>
          <w:numId w:val="1"/>
        </w:numPr>
      </w:pPr>
      <w:r>
        <w:t>Tilfredshedsmålinger fra elever, medarbejdere og aftagere, samt dokumentation herfor.</w:t>
      </w:r>
    </w:p>
    <w:p w:rsidR="00865BD0" w:rsidRDefault="00865BD0" w:rsidP="00865BD0">
      <w:pPr>
        <w:pStyle w:val="Listeafsnit"/>
        <w:numPr>
          <w:ilvl w:val="0"/>
          <w:numId w:val="1"/>
        </w:numPr>
      </w:pPr>
      <w:r>
        <w:t>Eksamens- og andre bedømmelsesresultater</w:t>
      </w:r>
    </w:p>
    <w:p w:rsidR="00865BD0" w:rsidRDefault="00865BD0" w:rsidP="00865BD0">
      <w:pPr>
        <w:pStyle w:val="Listeafsnit"/>
        <w:numPr>
          <w:ilvl w:val="0"/>
          <w:numId w:val="1"/>
        </w:numPr>
      </w:pPr>
      <w:r>
        <w:t>Kvalitetsmålinger</w:t>
      </w:r>
    </w:p>
    <w:p w:rsidR="00865BD0" w:rsidRDefault="00865BD0" w:rsidP="00865BD0">
      <w:pPr>
        <w:pStyle w:val="Listeafsnit"/>
        <w:numPr>
          <w:ilvl w:val="0"/>
          <w:numId w:val="1"/>
        </w:numPr>
      </w:pPr>
      <w:r>
        <w:t>Samlet vurdering af om uddannelsesmål opfyldes</w:t>
      </w:r>
    </w:p>
    <w:p w:rsidR="00865BD0" w:rsidRDefault="00865BD0" w:rsidP="00865BD0">
      <w:pPr>
        <w:pStyle w:val="Listeafsnit"/>
        <w:numPr>
          <w:ilvl w:val="0"/>
          <w:numId w:val="1"/>
        </w:numPr>
      </w:pPr>
      <w:r>
        <w:t>Samlet vurdering af kvalitetsmålsætning og politikkers opfyldelse.</w:t>
      </w:r>
    </w:p>
    <w:p w:rsidR="00865BD0" w:rsidRDefault="00865BD0" w:rsidP="00865BD0">
      <w:r>
        <w:t>Ledelsen på Imarsiornermik Ilinniarfik, skal endvidere sikre og implementere de nødvendige tiltag med henblik på en sikre en fortsat udvikling og forbedring af uddannelserne.</w:t>
      </w:r>
    </w:p>
    <w:p w:rsidR="00865BD0" w:rsidRPr="00CA7A26" w:rsidRDefault="00865BD0" w:rsidP="00865BD0">
      <w:r>
        <w:lastRenderedPageBreak/>
        <w:t>Ledelsen skal sikre at evalueringen dokumenteres skriftligt, dels gennem brug af</w:t>
      </w:r>
      <w:r w:rsidR="00EF088B" w:rsidRPr="00EF088B">
        <w:t xml:space="preserve"> </w:t>
      </w:r>
      <w:r w:rsidR="00EF088B">
        <w:t>P P 029-01 Procedure for ledelsens evaluering af kvalitetssystemet</w:t>
      </w:r>
      <w:r>
        <w:t>, samt gennem udarbejdelse af skriftlig rapport , vedrørende kvalitetssystemets evalueringen underskrevet af forstander.</w:t>
      </w:r>
    </w:p>
    <w:p w:rsidR="007764AD" w:rsidRDefault="007764AD"/>
    <w:sectPr w:rsidR="007764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82" w:rsidRDefault="00932182" w:rsidP="00BC50D0">
      <w:pPr>
        <w:spacing w:after="0" w:line="240" w:lineRule="auto"/>
      </w:pPr>
      <w:r>
        <w:separator/>
      </w:r>
    </w:p>
  </w:endnote>
  <w:endnote w:type="continuationSeparator" w:id="0">
    <w:p w:rsidR="00932182" w:rsidRDefault="00932182" w:rsidP="00BC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82" w:rsidRDefault="00932182" w:rsidP="00BC50D0">
      <w:pPr>
        <w:spacing w:after="0" w:line="240" w:lineRule="auto"/>
      </w:pPr>
      <w:r>
        <w:separator/>
      </w:r>
    </w:p>
  </w:footnote>
  <w:footnote w:type="continuationSeparator" w:id="0">
    <w:p w:rsidR="00932182" w:rsidRDefault="00932182" w:rsidP="00BC5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693"/>
      <w:gridCol w:w="2009"/>
      <w:gridCol w:w="1818"/>
      <w:gridCol w:w="1768"/>
    </w:tblGrid>
    <w:tr w:rsidR="00BC50D0" w:rsidTr="00BC50D0">
      <w:trPr>
        <w:cantSplit/>
        <w:trHeight w:val="551"/>
      </w:trPr>
      <w:tc>
        <w:tcPr>
          <w:tcW w:w="1488" w:type="dxa"/>
          <w:vMerge w:val="restart"/>
          <w:vAlign w:val="bottom"/>
        </w:tcPr>
        <w:p w:rsidR="00BC50D0" w:rsidRDefault="00EF088B" w:rsidP="00BC50D0">
          <w:pPr>
            <w:jc w:val="center"/>
          </w:pPr>
          <w:r>
            <w:rPr>
              <w:noProof/>
              <w:lang w:eastAsia="kl-GL"/>
            </w:rPr>
            <w:drawing>
              <wp:inline distT="0" distB="0" distL="0" distR="0" wp14:anchorId="574991E5" wp14:editId="3C6EDF13">
                <wp:extent cx="770255" cy="870585"/>
                <wp:effectExtent l="0" t="0" r="0" b="5715"/>
                <wp:docPr id="9" name="Billede 9"/>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870585"/>
                        </a:xfrm>
                        <a:prstGeom prst="rect">
                          <a:avLst/>
                        </a:prstGeom>
                        <a:noFill/>
                        <a:ln>
                          <a:noFill/>
                        </a:ln>
                      </pic:spPr>
                    </pic:pic>
                  </a:graphicData>
                </a:graphic>
              </wp:inline>
            </w:drawing>
          </w:r>
        </w:p>
      </w:tc>
      <w:tc>
        <w:tcPr>
          <w:tcW w:w="2693" w:type="dxa"/>
        </w:tcPr>
        <w:p w:rsidR="00BC50D0" w:rsidRDefault="00BC50D0" w:rsidP="00454842">
          <w:pPr>
            <w:rPr>
              <w:b/>
              <w:color w:val="000000"/>
              <w:sz w:val="16"/>
              <w:u w:val="single"/>
            </w:rPr>
          </w:pPr>
          <w:r>
            <w:rPr>
              <w:b/>
              <w:color w:val="000000"/>
              <w:sz w:val="16"/>
              <w:u w:val="single"/>
            </w:rPr>
            <w:t>Område:</w:t>
          </w:r>
        </w:p>
        <w:p w:rsidR="00BC50D0" w:rsidRDefault="00BC50D0" w:rsidP="00442CAC">
          <w:pPr>
            <w:rPr>
              <w:color w:val="000000"/>
              <w:sz w:val="20"/>
            </w:rPr>
          </w:pPr>
          <w:r>
            <w:rPr>
              <w:color w:val="000000"/>
            </w:rPr>
            <w:t xml:space="preserve">     </w:t>
          </w:r>
          <w:r w:rsidR="00442CAC">
            <w:rPr>
              <w:color w:val="000000"/>
              <w:sz w:val="20"/>
            </w:rPr>
            <w:t>Evaluering</w:t>
          </w:r>
        </w:p>
      </w:tc>
      <w:tc>
        <w:tcPr>
          <w:tcW w:w="3827" w:type="dxa"/>
          <w:gridSpan w:val="2"/>
        </w:tcPr>
        <w:p w:rsidR="00BC50D0" w:rsidRDefault="00BC50D0" w:rsidP="00454842">
          <w:pPr>
            <w:rPr>
              <w:b/>
              <w:color w:val="000000"/>
              <w:sz w:val="16"/>
              <w:u w:val="single"/>
            </w:rPr>
          </w:pPr>
          <w:r>
            <w:rPr>
              <w:b/>
              <w:color w:val="000000"/>
              <w:sz w:val="16"/>
              <w:u w:val="single"/>
            </w:rPr>
            <w:t>Emne:</w:t>
          </w:r>
        </w:p>
        <w:p w:rsidR="00BC50D0" w:rsidRDefault="00442CAC" w:rsidP="00454842">
          <w:pPr>
            <w:jc w:val="center"/>
            <w:rPr>
              <w:color w:val="000000"/>
              <w:sz w:val="20"/>
            </w:rPr>
          </w:pPr>
          <w:r>
            <w:rPr>
              <w:color w:val="000000"/>
              <w:sz w:val="20"/>
            </w:rPr>
            <w:t>4.1</w:t>
          </w:r>
          <w:r w:rsidR="00474BC1">
            <w:rPr>
              <w:color w:val="000000"/>
              <w:sz w:val="20"/>
            </w:rPr>
            <w:t>.0</w:t>
          </w:r>
          <w:r>
            <w:rPr>
              <w:color w:val="000000"/>
              <w:sz w:val="20"/>
            </w:rPr>
            <w:t xml:space="preserve"> Ledelsens evaluering</w:t>
          </w:r>
        </w:p>
      </w:tc>
      <w:tc>
        <w:tcPr>
          <w:tcW w:w="1768" w:type="dxa"/>
        </w:tcPr>
        <w:p w:rsidR="00BC50D0" w:rsidRDefault="00BC50D0" w:rsidP="00454842">
          <w:pPr>
            <w:rPr>
              <w:color w:val="000000"/>
              <w:sz w:val="16"/>
            </w:rPr>
          </w:pPr>
          <w:r>
            <w:rPr>
              <w:b/>
              <w:color w:val="000000"/>
              <w:sz w:val="16"/>
              <w:u w:val="single"/>
            </w:rPr>
            <w:t xml:space="preserve">Side antal: </w:t>
          </w:r>
        </w:p>
        <w:p w:rsidR="00BC50D0" w:rsidRDefault="00BC50D0" w:rsidP="00454842">
          <w:pPr>
            <w:rPr>
              <w:color w:val="000000"/>
              <w:sz w:val="20"/>
            </w:rPr>
          </w:pPr>
          <w:r>
            <w:rPr>
              <w:color w:val="000000"/>
              <w:sz w:val="20"/>
            </w:rPr>
            <w:t xml:space="preserve">Side </w:t>
          </w:r>
          <w:r>
            <w:rPr>
              <w:rStyle w:val="Sidetal"/>
              <w:sz w:val="20"/>
            </w:rPr>
            <w:fldChar w:fldCharType="begin"/>
          </w:r>
          <w:r>
            <w:rPr>
              <w:rStyle w:val="Sidetal"/>
              <w:sz w:val="20"/>
            </w:rPr>
            <w:instrText xml:space="preserve"> PAGE </w:instrText>
          </w:r>
          <w:r>
            <w:rPr>
              <w:rStyle w:val="Sidetal"/>
              <w:sz w:val="20"/>
            </w:rPr>
            <w:fldChar w:fldCharType="separate"/>
          </w:r>
          <w:r w:rsidR="00474BC1">
            <w:rPr>
              <w:rStyle w:val="Sidetal"/>
              <w:noProof/>
              <w:sz w:val="20"/>
            </w:rPr>
            <w:t>2</w:t>
          </w:r>
          <w:r>
            <w:rPr>
              <w:rStyle w:val="Sidetal"/>
              <w:sz w:val="20"/>
            </w:rPr>
            <w:fldChar w:fldCharType="end"/>
          </w:r>
          <w:r>
            <w:rPr>
              <w:color w:val="000000"/>
              <w:sz w:val="20"/>
            </w:rPr>
            <w:t xml:space="preserve"> af </w:t>
          </w:r>
          <w:r>
            <w:rPr>
              <w:rStyle w:val="Sidetal"/>
              <w:sz w:val="20"/>
            </w:rPr>
            <w:fldChar w:fldCharType="begin"/>
          </w:r>
          <w:r>
            <w:rPr>
              <w:rStyle w:val="Sidetal"/>
              <w:sz w:val="20"/>
            </w:rPr>
            <w:instrText xml:space="preserve"> NUMPAGES </w:instrText>
          </w:r>
          <w:r>
            <w:rPr>
              <w:rStyle w:val="Sidetal"/>
              <w:sz w:val="20"/>
            </w:rPr>
            <w:fldChar w:fldCharType="separate"/>
          </w:r>
          <w:r w:rsidR="00474BC1">
            <w:rPr>
              <w:rStyle w:val="Sidetal"/>
              <w:noProof/>
              <w:sz w:val="20"/>
            </w:rPr>
            <w:t>2</w:t>
          </w:r>
          <w:r>
            <w:rPr>
              <w:rStyle w:val="Sidetal"/>
              <w:sz w:val="20"/>
            </w:rPr>
            <w:fldChar w:fldCharType="end"/>
          </w:r>
        </w:p>
      </w:tc>
    </w:tr>
    <w:tr w:rsidR="00BC50D0" w:rsidTr="00454842">
      <w:trPr>
        <w:cantSplit/>
      </w:trPr>
      <w:tc>
        <w:tcPr>
          <w:tcW w:w="1488" w:type="dxa"/>
          <w:vMerge/>
          <w:vAlign w:val="bottom"/>
        </w:tcPr>
        <w:p w:rsidR="00BC50D0" w:rsidRDefault="00BC50D0" w:rsidP="00454842"/>
      </w:tc>
      <w:tc>
        <w:tcPr>
          <w:tcW w:w="2693" w:type="dxa"/>
        </w:tcPr>
        <w:p w:rsidR="00BC50D0" w:rsidRDefault="00BC50D0" w:rsidP="00454842">
          <w:pPr>
            <w:rPr>
              <w:b/>
              <w:color w:val="000000"/>
              <w:sz w:val="16"/>
              <w:u w:val="single"/>
            </w:rPr>
          </w:pPr>
          <w:r>
            <w:rPr>
              <w:b/>
              <w:color w:val="000000"/>
              <w:sz w:val="16"/>
              <w:u w:val="single"/>
            </w:rPr>
            <w:t>Godkendt  områdeansvarlig:</w:t>
          </w:r>
        </w:p>
        <w:p w:rsidR="00BC50D0" w:rsidRDefault="00BC50D0" w:rsidP="00454842">
          <w:pPr>
            <w:rPr>
              <w:color w:val="000000"/>
              <w:sz w:val="20"/>
            </w:rPr>
          </w:pPr>
          <w:r>
            <w:rPr>
              <w:color w:val="000000"/>
              <w:sz w:val="20"/>
            </w:rPr>
            <w:t>Forstander</w:t>
          </w:r>
        </w:p>
      </w:tc>
      <w:tc>
        <w:tcPr>
          <w:tcW w:w="2009" w:type="dxa"/>
        </w:tcPr>
        <w:p w:rsidR="00BC50D0" w:rsidRDefault="00BC50D0" w:rsidP="00454842">
          <w:pPr>
            <w:rPr>
              <w:b/>
              <w:color w:val="000000"/>
              <w:sz w:val="16"/>
              <w:u w:val="single"/>
            </w:rPr>
          </w:pPr>
          <w:r>
            <w:rPr>
              <w:b/>
              <w:color w:val="000000"/>
              <w:sz w:val="16"/>
              <w:u w:val="single"/>
            </w:rPr>
            <w:t>Q – bog:</w:t>
          </w:r>
        </w:p>
        <w:p w:rsidR="00BC50D0" w:rsidRDefault="00BC50D0" w:rsidP="00454842">
          <w:pPr>
            <w:jc w:val="center"/>
            <w:rPr>
              <w:color w:val="000000"/>
              <w:sz w:val="20"/>
            </w:rPr>
          </w:pPr>
          <w:r>
            <w:rPr>
              <w:color w:val="000000"/>
              <w:sz w:val="20"/>
            </w:rPr>
            <w:t>Kvalitetshåndbog</w:t>
          </w:r>
        </w:p>
      </w:tc>
      <w:tc>
        <w:tcPr>
          <w:tcW w:w="1818" w:type="dxa"/>
        </w:tcPr>
        <w:p w:rsidR="00BC50D0" w:rsidRDefault="00BC50D0" w:rsidP="00454842">
          <w:pPr>
            <w:rPr>
              <w:b/>
              <w:color w:val="000000"/>
              <w:sz w:val="16"/>
              <w:u w:val="single"/>
              <w:lang w:val="de-DE"/>
            </w:rPr>
          </w:pPr>
          <w:proofErr w:type="spellStart"/>
          <w:r>
            <w:rPr>
              <w:b/>
              <w:color w:val="000000"/>
              <w:sz w:val="16"/>
              <w:u w:val="single"/>
              <w:lang w:val="de-DE"/>
            </w:rPr>
            <w:t>Erstatter</w:t>
          </w:r>
          <w:proofErr w:type="spellEnd"/>
          <w:r>
            <w:rPr>
              <w:b/>
              <w:color w:val="000000"/>
              <w:sz w:val="16"/>
              <w:u w:val="single"/>
              <w:lang w:val="de-DE"/>
            </w:rPr>
            <w:t>:</w:t>
          </w:r>
        </w:p>
        <w:p w:rsidR="00BC50D0" w:rsidRDefault="00BC50D0" w:rsidP="00454842">
          <w:pPr>
            <w:jc w:val="center"/>
            <w:rPr>
              <w:color w:val="000000"/>
              <w:sz w:val="20"/>
            </w:rPr>
          </w:pPr>
        </w:p>
      </w:tc>
      <w:tc>
        <w:tcPr>
          <w:tcW w:w="1768" w:type="dxa"/>
        </w:tcPr>
        <w:p w:rsidR="00BC50D0" w:rsidRDefault="00BC50D0" w:rsidP="00454842">
          <w:pPr>
            <w:rPr>
              <w:b/>
              <w:color w:val="000000"/>
              <w:sz w:val="16"/>
              <w:u w:val="single"/>
            </w:rPr>
          </w:pPr>
          <w:r>
            <w:rPr>
              <w:b/>
              <w:color w:val="000000"/>
              <w:sz w:val="16"/>
              <w:u w:val="single"/>
            </w:rPr>
            <w:t>Forfatter:</w:t>
          </w:r>
        </w:p>
        <w:p w:rsidR="00BC50D0" w:rsidRDefault="00BC50D0" w:rsidP="00454842">
          <w:pPr>
            <w:rPr>
              <w:color w:val="000000"/>
              <w:sz w:val="20"/>
            </w:rPr>
          </w:pPr>
          <w:r>
            <w:rPr>
              <w:color w:val="000000"/>
              <w:sz w:val="20"/>
            </w:rPr>
            <w:t>JC</w:t>
          </w:r>
        </w:p>
      </w:tc>
    </w:tr>
    <w:tr w:rsidR="00BC50D0" w:rsidTr="00BC50D0">
      <w:trPr>
        <w:cantSplit/>
        <w:trHeight w:val="207"/>
      </w:trPr>
      <w:tc>
        <w:tcPr>
          <w:tcW w:w="1488" w:type="dxa"/>
          <w:vMerge/>
          <w:vAlign w:val="bottom"/>
        </w:tcPr>
        <w:p w:rsidR="00BC50D0" w:rsidRDefault="00BC50D0" w:rsidP="00454842"/>
      </w:tc>
      <w:tc>
        <w:tcPr>
          <w:tcW w:w="2693" w:type="dxa"/>
        </w:tcPr>
        <w:p w:rsidR="00BC50D0" w:rsidRDefault="00BC50D0" w:rsidP="00454842">
          <w:pPr>
            <w:rPr>
              <w:b/>
              <w:color w:val="000000"/>
              <w:sz w:val="16"/>
              <w:u w:val="single"/>
            </w:rPr>
          </w:pPr>
          <w:r>
            <w:rPr>
              <w:b/>
              <w:color w:val="000000"/>
              <w:sz w:val="16"/>
              <w:u w:val="single"/>
            </w:rPr>
            <w:t>Godkendt Q-koordinator:</w:t>
          </w:r>
        </w:p>
        <w:p w:rsidR="00BC50D0" w:rsidRDefault="00EF088B" w:rsidP="00454842">
          <w:pPr>
            <w:rPr>
              <w:color w:val="000000"/>
              <w:sz w:val="20"/>
            </w:rPr>
          </w:pPr>
          <w:r>
            <w:rPr>
              <w:color w:val="000000"/>
              <w:sz w:val="20"/>
            </w:rPr>
            <w:t>TBI</w:t>
          </w:r>
        </w:p>
      </w:tc>
      <w:tc>
        <w:tcPr>
          <w:tcW w:w="3827" w:type="dxa"/>
          <w:gridSpan w:val="2"/>
        </w:tcPr>
        <w:p w:rsidR="00BC50D0" w:rsidRDefault="00BC50D0" w:rsidP="00454842">
          <w:pPr>
            <w:rPr>
              <w:b/>
              <w:color w:val="000000"/>
              <w:sz w:val="16"/>
              <w:u w:val="single"/>
            </w:rPr>
          </w:pPr>
          <w:r>
            <w:rPr>
              <w:b/>
              <w:color w:val="000000"/>
              <w:sz w:val="16"/>
              <w:u w:val="single"/>
            </w:rPr>
            <w:t>Dokumentbetegnelse:</w:t>
          </w:r>
        </w:p>
        <w:p w:rsidR="00BC50D0" w:rsidRDefault="00442CAC" w:rsidP="00454842">
          <w:pPr>
            <w:jc w:val="center"/>
            <w:rPr>
              <w:color w:val="000000"/>
              <w:sz w:val="20"/>
            </w:rPr>
          </w:pPr>
          <w:r>
            <w:rPr>
              <w:color w:val="000000"/>
              <w:sz w:val="20"/>
            </w:rPr>
            <w:t>E Q 4.1.0 DK</w:t>
          </w:r>
        </w:p>
      </w:tc>
      <w:tc>
        <w:tcPr>
          <w:tcW w:w="1768" w:type="dxa"/>
        </w:tcPr>
        <w:p w:rsidR="00BC50D0" w:rsidRDefault="00BC50D0" w:rsidP="00454842">
          <w:pPr>
            <w:rPr>
              <w:b/>
              <w:color w:val="000000"/>
              <w:sz w:val="16"/>
              <w:u w:val="single"/>
            </w:rPr>
          </w:pPr>
          <w:r>
            <w:rPr>
              <w:b/>
              <w:color w:val="000000"/>
              <w:sz w:val="16"/>
              <w:u w:val="single"/>
            </w:rPr>
            <w:t>Gyldig fra:</w:t>
          </w:r>
        </w:p>
        <w:p w:rsidR="00BC50D0" w:rsidRDefault="00EF088B" w:rsidP="00454842">
          <w:pPr>
            <w:rPr>
              <w:color w:val="000000"/>
              <w:sz w:val="20"/>
            </w:rPr>
          </w:pPr>
          <w:r>
            <w:rPr>
              <w:color w:val="000000"/>
              <w:sz w:val="20"/>
            </w:rPr>
            <w:t>01.11.2013</w:t>
          </w:r>
        </w:p>
      </w:tc>
    </w:tr>
  </w:tbl>
  <w:p w:rsidR="00BC50D0" w:rsidRDefault="00BC50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315DC"/>
    <w:multiLevelType w:val="hybridMultilevel"/>
    <w:tmpl w:val="266EAACC"/>
    <w:lvl w:ilvl="0" w:tplc="DC2650E8">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D0"/>
    <w:rsid w:val="00442CAC"/>
    <w:rsid w:val="00474BC1"/>
    <w:rsid w:val="006C7A58"/>
    <w:rsid w:val="007764AD"/>
    <w:rsid w:val="00865BD0"/>
    <w:rsid w:val="00932182"/>
    <w:rsid w:val="00BC50D0"/>
    <w:rsid w:val="00BF5CFE"/>
    <w:rsid w:val="00EB2D4A"/>
    <w:rsid w:val="00EF088B"/>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kl-G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42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42C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50D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C50D0"/>
  </w:style>
  <w:style w:type="paragraph" w:styleId="Sidefod">
    <w:name w:val="footer"/>
    <w:basedOn w:val="Normal"/>
    <w:link w:val="SidefodTegn"/>
    <w:uiPriority w:val="99"/>
    <w:unhideWhenUsed/>
    <w:rsid w:val="00BC50D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C50D0"/>
  </w:style>
  <w:style w:type="character" w:styleId="Sidetal">
    <w:name w:val="page number"/>
    <w:basedOn w:val="Standardskrifttypeiafsnit"/>
    <w:rsid w:val="00BC50D0"/>
  </w:style>
  <w:style w:type="paragraph" w:styleId="Markeringsbobletekst">
    <w:name w:val="Balloon Text"/>
    <w:basedOn w:val="Normal"/>
    <w:link w:val="MarkeringsbobletekstTegn"/>
    <w:uiPriority w:val="99"/>
    <w:semiHidden/>
    <w:unhideWhenUsed/>
    <w:rsid w:val="00BC50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50D0"/>
    <w:rPr>
      <w:rFonts w:ascii="Tahoma" w:hAnsi="Tahoma" w:cs="Tahoma"/>
      <w:sz w:val="16"/>
      <w:szCs w:val="16"/>
    </w:rPr>
  </w:style>
  <w:style w:type="character" w:customStyle="1" w:styleId="Overskrift1Tegn">
    <w:name w:val="Overskrift 1 Tegn"/>
    <w:basedOn w:val="Standardskrifttypeiafsnit"/>
    <w:link w:val="Overskrift1"/>
    <w:uiPriority w:val="9"/>
    <w:rsid w:val="00442CA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42CAC"/>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442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kl-G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42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42C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50D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C50D0"/>
  </w:style>
  <w:style w:type="paragraph" w:styleId="Sidefod">
    <w:name w:val="footer"/>
    <w:basedOn w:val="Normal"/>
    <w:link w:val="SidefodTegn"/>
    <w:uiPriority w:val="99"/>
    <w:unhideWhenUsed/>
    <w:rsid w:val="00BC50D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C50D0"/>
  </w:style>
  <w:style w:type="character" w:styleId="Sidetal">
    <w:name w:val="page number"/>
    <w:basedOn w:val="Standardskrifttypeiafsnit"/>
    <w:rsid w:val="00BC50D0"/>
  </w:style>
  <w:style w:type="paragraph" w:styleId="Markeringsbobletekst">
    <w:name w:val="Balloon Text"/>
    <w:basedOn w:val="Normal"/>
    <w:link w:val="MarkeringsbobletekstTegn"/>
    <w:uiPriority w:val="99"/>
    <w:semiHidden/>
    <w:unhideWhenUsed/>
    <w:rsid w:val="00BC50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50D0"/>
    <w:rPr>
      <w:rFonts w:ascii="Tahoma" w:hAnsi="Tahoma" w:cs="Tahoma"/>
      <w:sz w:val="16"/>
      <w:szCs w:val="16"/>
    </w:rPr>
  </w:style>
  <w:style w:type="character" w:customStyle="1" w:styleId="Overskrift1Tegn">
    <w:name w:val="Overskrift 1 Tegn"/>
    <w:basedOn w:val="Standardskrifttypeiafsnit"/>
    <w:link w:val="Overskrift1"/>
    <w:uiPriority w:val="9"/>
    <w:rsid w:val="00442CA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42CAC"/>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44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305</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 Sylvest Carstensen</dc:creator>
  <cp:lastModifiedBy>Tina Højris Bimler</cp:lastModifiedBy>
  <cp:revision>6</cp:revision>
  <cp:lastPrinted>2014-04-16T10:13:00Z</cp:lastPrinted>
  <dcterms:created xsi:type="dcterms:W3CDTF">2013-12-30T14:20:00Z</dcterms:created>
  <dcterms:modified xsi:type="dcterms:W3CDTF">2015-09-01T17:57:00Z</dcterms:modified>
</cp:coreProperties>
</file>